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877BE" w14:textId="74F2B1AF" w:rsidR="00D5532D" w:rsidRDefault="00D5532D" w:rsidP="00D5532D">
      <w:pPr>
        <w:jc w:val="center"/>
        <w:rPr>
          <w:rFonts w:ascii="Arial" w:hAnsi="Arial" w:cs="Arial"/>
          <w:b/>
          <w:bCs/>
        </w:rPr>
      </w:pPr>
      <w:r>
        <w:rPr>
          <w:rFonts w:ascii="Arial" w:hAnsi="Arial" w:cs="Arial"/>
          <w:b/>
          <w:bCs/>
        </w:rPr>
        <w:t>INVEO YATIRIM HOLDİNG AŞ AUDIT COMMITTEE</w:t>
      </w:r>
    </w:p>
    <w:p w14:paraId="3116748A" w14:textId="77777777" w:rsidR="00D5532D" w:rsidRDefault="00D5532D" w:rsidP="00D5532D">
      <w:pPr>
        <w:jc w:val="center"/>
        <w:rPr>
          <w:rFonts w:ascii="Arial" w:hAnsi="Arial" w:cs="Arial"/>
          <w:b/>
          <w:bCs/>
          <w:sz w:val="22"/>
          <w:szCs w:val="22"/>
          <w:lang w:eastAsia="en-US"/>
        </w:rPr>
      </w:pPr>
      <w:r>
        <w:rPr>
          <w:rFonts w:ascii="Arial" w:hAnsi="Arial" w:cs="Arial"/>
          <w:b/>
          <w:bCs/>
        </w:rPr>
        <w:t>DUTIES AND OPERATING PRINCIPLES</w:t>
      </w:r>
    </w:p>
    <w:p w14:paraId="458194AB" w14:textId="77777777" w:rsidR="00D5532D" w:rsidRDefault="00D5532D" w:rsidP="00D5532D">
      <w:pPr>
        <w:jc w:val="center"/>
        <w:rPr>
          <w:rFonts w:ascii="Arial" w:hAnsi="Arial" w:cs="Arial"/>
          <w:b/>
          <w:bCs/>
          <w:sz w:val="22"/>
          <w:szCs w:val="22"/>
          <w:lang w:eastAsia="en-US"/>
        </w:rPr>
      </w:pPr>
    </w:p>
    <w:p w14:paraId="1731495A" w14:textId="77777777" w:rsidR="00D5532D" w:rsidRDefault="00D5532D" w:rsidP="00D5532D">
      <w:pPr>
        <w:pStyle w:val="ListeParagraf"/>
        <w:numPr>
          <w:ilvl w:val="0"/>
          <w:numId w:val="1"/>
        </w:numPr>
        <w:suppressAutoHyphens w:val="0"/>
        <w:spacing w:after="160" w:line="252" w:lineRule="auto"/>
        <w:ind w:left="284" w:firstLine="0"/>
        <w:contextualSpacing/>
        <w:jc w:val="both"/>
        <w:rPr>
          <w:rFonts w:ascii="Arial" w:hAnsi="Arial" w:cs="Arial"/>
          <w:b/>
          <w:bCs/>
        </w:rPr>
      </w:pPr>
      <w:r>
        <w:rPr>
          <w:rFonts w:ascii="Arial" w:hAnsi="Arial" w:cs="Arial"/>
          <w:b/>
          <w:bCs/>
        </w:rPr>
        <w:t>Purpose</w:t>
      </w:r>
    </w:p>
    <w:p w14:paraId="58D7C461" w14:textId="77777777" w:rsidR="00D5532D" w:rsidRDefault="00D5532D" w:rsidP="00D5532D">
      <w:pPr>
        <w:pStyle w:val="ListeParagraf"/>
        <w:suppressAutoHyphens w:val="0"/>
        <w:spacing w:line="252" w:lineRule="auto"/>
        <w:ind w:left="284"/>
        <w:contextualSpacing/>
        <w:jc w:val="both"/>
        <w:rPr>
          <w:rFonts w:ascii="Arial" w:hAnsi="Arial" w:cs="Arial"/>
          <w:b/>
          <w:bCs/>
        </w:rPr>
      </w:pPr>
    </w:p>
    <w:p w14:paraId="6895B067" w14:textId="77777777" w:rsidR="00D5532D" w:rsidRDefault="00D5532D" w:rsidP="00D5532D">
      <w:pPr>
        <w:pStyle w:val="ListeParagraf"/>
        <w:suppressAutoHyphens w:val="0"/>
        <w:spacing w:line="252" w:lineRule="auto"/>
        <w:ind w:left="284"/>
        <w:contextualSpacing/>
        <w:rPr>
          <w:rFonts w:ascii="Arial" w:hAnsi="Arial" w:cs="Arial"/>
        </w:rPr>
      </w:pPr>
      <w:r>
        <w:rPr>
          <w:rFonts w:ascii="Arial" w:hAnsi="Arial" w:cs="Arial"/>
        </w:rPr>
        <w:t>The purpose of this regulation is to designate the duties and operating principles</w:t>
      </w:r>
    </w:p>
    <w:p w14:paraId="519D4039" w14:textId="77777777" w:rsidR="00D5532D" w:rsidRDefault="00D5532D" w:rsidP="00D5532D">
      <w:pPr>
        <w:pStyle w:val="ListeParagraf"/>
        <w:suppressAutoHyphens w:val="0"/>
        <w:spacing w:line="252" w:lineRule="auto"/>
        <w:ind w:left="284"/>
        <w:contextualSpacing/>
        <w:rPr>
          <w:rFonts w:ascii="Arial" w:hAnsi="Arial" w:cs="Arial"/>
        </w:rPr>
      </w:pPr>
      <w:r>
        <w:rPr>
          <w:rFonts w:ascii="Arial" w:hAnsi="Arial" w:cs="Arial"/>
        </w:rPr>
        <w:t>of the Audit Committee (Committee) to be established by the Board of Directors</w:t>
      </w:r>
    </w:p>
    <w:p w14:paraId="18B5BEA0" w14:textId="77777777" w:rsidR="00D5532D" w:rsidRDefault="00D5532D" w:rsidP="00D5532D">
      <w:pPr>
        <w:pStyle w:val="ListeParagraf"/>
        <w:suppressAutoHyphens w:val="0"/>
        <w:spacing w:line="252" w:lineRule="auto"/>
        <w:ind w:left="284"/>
        <w:contextualSpacing/>
        <w:jc w:val="both"/>
        <w:rPr>
          <w:rFonts w:ascii="Arial" w:hAnsi="Arial" w:cs="Arial"/>
        </w:rPr>
      </w:pPr>
      <w:r>
        <w:rPr>
          <w:rFonts w:ascii="Arial" w:hAnsi="Arial" w:cs="Arial"/>
        </w:rPr>
        <w:t>of Inveo Yatırım Holding A.Ş. (Company).</w:t>
      </w:r>
    </w:p>
    <w:p w14:paraId="0F5EB387" w14:textId="77777777" w:rsidR="00D5532D" w:rsidRDefault="00D5532D" w:rsidP="00D5532D">
      <w:pPr>
        <w:pStyle w:val="ListeParagraf"/>
        <w:suppressAutoHyphens w:val="0"/>
        <w:spacing w:line="252" w:lineRule="auto"/>
        <w:ind w:left="284"/>
        <w:contextualSpacing/>
        <w:jc w:val="both"/>
        <w:rPr>
          <w:rFonts w:ascii="Arial" w:hAnsi="Arial" w:cs="Arial"/>
          <w:b/>
          <w:bCs/>
        </w:rPr>
      </w:pPr>
    </w:p>
    <w:p w14:paraId="3F1A0CBF" w14:textId="77777777" w:rsidR="00D5532D" w:rsidRDefault="00D5532D" w:rsidP="00D5532D">
      <w:pPr>
        <w:pStyle w:val="ListeParagraf"/>
        <w:numPr>
          <w:ilvl w:val="0"/>
          <w:numId w:val="1"/>
        </w:numPr>
        <w:suppressAutoHyphens w:val="0"/>
        <w:spacing w:line="252" w:lineRule="auto"/>
        <w:ind w:left="284" w:firstLine="0"/>
        <w:contextualSpacing/>
        <w:jc w:val="both"/>
        <w:rPr>
          <w:rFonts w:ascii="Arial" w:hAnsi="Arial" w:cs="Arial"/>
          <w:b/>
          <w:bCs/>
        </w:rPr>
      </w:pPr>
      <w:r>
        <w:rPr>
          <w:rFonts w:ascii="Arial" w:hAnsi="Arial" w:cs="Arial"/>
          <w:b/>
          <w:bCs/>
        </w:rPr>
        <w:t>Scope</w:t>
      </w:r>
    </w:p>
    <w:p w14:paraId="6567D8E5" w14:textId="77777777" w:rsidR="00D5532D" w:rsidRDefault="00D5532D" w:rsidP="00D5532D">
      <w:pPr>
        <w:pStyle w:val="ListeParagraf"/>
        <w:suppressAutoHyphens w:val="0"/>
        <w:spacing w:line="252" w:lineRule="auto"/>
        <w:ind w:left="284"/>
        <w:contextualSpacing/>
        <w:jc w:val="both"/>
        <w:rPr>
          <w:rFonts w:ascii="Arial" w:hAnsi="Arial" w:cs="Arial"/>
          <w:b/>
          <w:bCs/>
        </w:rPr>
      </w:pPr>
    </w:p>
    <w:p w14:paraId="5BF8BD67" w14:textId="77777777" w:rsidR="00D5532D" w:rsidRDefault="00D5532D" w:rsidP="00D5532D">
      <w:pPr>
        <w:pStyle w:val="ListeParagraf"/>
        <w:suppressAutoHyphens w:val="0"/>
        <w:spacing w:line="252" w:lineRule="auto"/>
        <w:ind w:left="284"/>
        <w:contextualSpacing/>
        <w:jc w:val="both"/>
        <w:rPr>
          <w:rFonts w:ascii="Arial" w:hAnsi="Arial" w:cs="Arial"/>
        </w:rPr>
      </w:pPr>
      <w:r>
        <w:rPr>
          <w:rFonts w:ascii="Arial" w:hAnsi="Arial" w:cs="Arial"/>
        </w:rPr>
        <w:t>This regulation covers the studies and activities to be carried out by the Audit Committee in accordance with the relevant legislation.</w:t>
      </w:r>
    </w:p>
    <w:p w14:paraId="70870E0E" w14:textId="77777777" w:rsidR="00D5532D" w:rsidRDefault="00D5532D" w:rsidP="00D5532D">
      <w:pPr>
        <w:pStyle w:val="ListeParagraf"/>
        <w:suppressAutoHyphens w:val="0"/>
        <w:spacing w:line="252" w:lineRule="auto"/>
        <w:ind w:left="284"/>
        <w:contextualSpacing/>
        <w:jc w:val="both"/>
        <w:rPr>
          <w:rFonts w:ascii="Arial" w:hAnsi="Arial" w:cs="Arial"/>
          <w:b/>
          <w:bCs/>
        </w:rPr>
      </w:pPr>
    </w:p>
    <w:p w14:paraId="08330FAC" w14:textId="77777777" w:rsidR="00D5532D" w:rsidRDefault="00D5532D" w:rsidP="00D5532D">
      <w:pPr>
        <w:pStyle w:val="ListeParagraf"/>
        <w:numPr>
          <w:ilvl w:val="0"/>
          <w:numId w:val="1"/>
        </w:numPr>
        <w:suppressAutoHyphens w:val="0"/>
        <w:spacing w:line="252" w:lineRule="auto"/>
        <w:ind w:left="284" w:firstLine="0"/>
        <w:contextualSpacing/>
        <w:jc w:val="both"/>
        <w:rPr>
          <w:rFonts w:ascii="Arial" w:hAnsi="Arial" w:cs="Arial"/>
          <w:b/>
          <w:bCs/>
        </w:rPr>
      </w:pPr>
      <w:r>
        <w:rPr>
          <w:rFonts w:ascii="Arial" w:hAnsi="Arial" w:cs="Arial"/>
          <w:b/>
          <w:bCs/>
        </w:rPr>
        <w:t>Provision</w:t>
      </w:r>
    </w:p>
    <w:p w14:paraId="29ECF235" w14:textId="77777777" w:rsidR="00D5532D" w:rsidRDefault="00D5532D" w:rsidP="00D5532D">
      <w:pPr>
        <w:pStyle w:val="ListeParagraf"/>
        <w:rPr>
          <w:rFonts w:ascii="Arial" w:hAnsi="Arial" w:cs="Arial"/>
          <w:b/>
          <w:bCs/>
        </w:rPr>
      </w:pPr>
    </w:p>
    <w:p w14:paraId="0214A1FE" w14:textId="77777777" w:rsidR="00D5532D" w:rsidRDefault="00D5532D" w:rsidP="00D5532D">
      <w:pPr>
        <w:pStyle w:val="ListeParagraf"/>
        <w:suppressAutoHyphens w:val="0"/>
        <w:spacing w:line="254" w:lineRule="auto"/>
        <w:ind w:left="284"/>
        <w:contextualSpacing/>
        <w:rPr>
          <w:rFonts w:ascii="Arial" w:hAnsi="Arial" w:cs="Arial"/>
        </w:rPr>
      </w:pPr>
      <w:r>
        <w:rPr>
          <w:rFonts w:ascii="Arial" w:hAnsi="Arial" w:cs="Arial"/>
        </w:rPr>
        <w:t>This regulation is prepared in accordance with the provisions of Capital Markets</w:t>
      </w:r>
    </w:p>
    <w:p w14:paraId="6C972C5E" w14:textId="77777777" w:rsidR="00D5532D" w:rsidRDefault="00D5532D" w:rsidP="00D5532D">
      <w:pPr>
        <w:pStyle w:val="ListeParagraf"/>
        <w:suppressAutoHyphens w:val="0"/>
        <w:spacing w:line="254" w:lineRule="auto"/>
        <w:ind w:left="284"/>
        <w:contextualSpacing/>
        <w:jc w:val="both"/>
        <w:rPr>
          <w:rFonts w:ascii="Arial" w:hAnsi="Arial" w:cs="Arial"/>
        </w:rPr>
      </w:pPr>
      <w:r>
        <w:rPr>
          <w:rFonts w:ascii="Arial" w:hAnsi="Arial" w:cs="Arial"/>
        </w:rPr>
        <w:t>Legislation hence Corporate Governance Principles.</w:t>
      </w:r>
    </w:p>
    <w:p w14:paraId="7E8DFA99" w14:textId="77777777" w:rsidR="00D5532D" w:rsidRDefault="00D5532D" w:rsidP="00D5532D">
      <w:pPr>
        <w:pStyle w:val="ListeParagraf"/>
        <w:suppressAutoHyphens w:val="0"/>
        <w:spacing w:line="252" w:lineRule="auto"/>
        <w:ind w:left="284"/>
        <w:contextualSpacing/>
        <w:jc w:val="both"/>
        <w:rPr>
          <w:rFonts w:ascii="Arial" w:hAnsi="Arial" w:cs="Arial"/>
        </w:rPr>
      </w:pPr>
    </w:p>
    <w:p w14:paraId="27D3B871" w14:textId="77777777" w:rsidR="00D5532D" w:rsidRDefault="00D5532D" w:rsidP="00D5532D">
      <w:pPr>
        <w:pStyle w:val="ListeParagraf"/>
        <w:numPr>
          <w:ilvl w:val="0"/>
          <w:numId w:val="1"/>
        </w:numPr>
        <w:suppressAutoHyphens w:val="0"/>
        <w:spacing w:line="252" w:lineRule="auto"/>
        <w:contextualSpacing/>
        <w:jc w:val="both"/>
        <w:rPr>
          <w:rFonts w:ascii="Arial" w:hAnsi="Arial" w:cs="Arial"/>
          <w:b/>
          <w:bCs/>
        </w:rPr>
      </w:pPr>
      <w:r>
        <w:rPr>
          <w:rFonts w:ascii="Arial" w:hAnsi="Arial" w:cs="Arial"/>
          <w:b/>
          <w:bCs/>
        </w:rPr>
        <w:t>Definitions of Authority</w:t>
      </w:r>
    </w:p>
    <w:p w14:paraId="0057A072" w14:textId="77777777" w:rsidR="00D5532D" w:rsidRDefault="00D5532D" w:rsidP="00D5532D">
      <w:pPr>
        <w:pStyle w:val="ListeParagraf"/>
        <w:suppressAutoHyphens w:val="0"/>
        <w:spacing w:line="252" w:lineRule="auto"/>
        <w:ind w:left="360"/>
        <w:contextualSpacing/>
        <w:jc w:val="both"/>
        <w:rPr>
          <w:rFonts w:ascii="Arial" w:hAnsi="Arial" w:cs="Arial"/>
          <w:b/>
          <w:bCs/>
        </w:rPr>
      </w:pPr>
    </w:p>
    <w:p w14:paraId="3CB2DD47" w14:textId="77777777" w:rsidR="00D5532D" w:rsidRDefault="00D5532D" w:rsidP="00D5532D">
      <w:pPr>
        <w:pStyle w:val="ListeParagraf"/>
        <w:suppressAutoHyphens w:val="0"/>
        <w:spacing w:line="254" w:lineRule="auto"/>
        <w:ind w:left="360"/>
        <w:contextualSpacing/>
        <w:rPr>
          <w:rFonts w:ascii="Arial" w:hAnsi="Arial" w:cs="Arial"/>
        </w:rPr>
      </w:pPr>
      <w:r>
        <w:rPr>
          <w:rFonts w:ascii="Arial" w:hAnsi="Arial" w:cs="Arial"/>
        </w:rPr>
        <w:t xml:space="preserve">The Committee is established and authorized by the Board of Directors, acts within the scope of its powers and responsibilities and advises the Board of Directors; however the responsibility of final decision always belongs to the Board of Directors. </w:t>
      </w:r>
    </w:p>
    <w:p w14:paraId="34DFB88C" w14:textId="77777777" w:rsidR="00D5532D" w:rsidRDefault="00D5532D" w:rsidP="00D5532D">
      <w:pPr>
        <w:pStyle w:val="ListeParagraf"/>
        <w:suppressAutoHyphens w:val="0"/>
        <w:spacing w:line="254" w:lineRule="auto"/>
        <w:ind w:left="360"/>
        <w:contextualSpacing/>
        <w:rPr>
          <w:rFonts w:ascii="Arial" w:hAnsi="Arial" w:cs="Arial"/>
        </w:rPr>
      </w:pPr>
    </w:p>
    <w:p w14:paraId="05B7AD3A" w14:textId="77777777" w:rsidR="00D5532D" w:rsidRDefault="00D5532D" w:rsidP="00D5532D">
      <w:pPr>
        <w:pStyle w:val="ListeParagraf"/>
        <w:suppressAutoHyphens w:val="0"/>
        <w:spacing w:line="254" w:lineRule="auto"/>
        <w:ind w:left="360"/>
        <w:contextualSpacing/>
        <w:rPr>
          <w:rFonts w:ascii="Arial" w:hAnsi="Arial" w:cs="Arial"/>
        </w:rPr>
      </w:pPr>
      <w:r>
        <w:rPr>
          <w:rFonts w:ascii="Arial" w:hAnsi="Arial" w:cs="Arial"/>
        </w:rPr>
        <w:t xml:space="preserve">The Board of Directors provide all kinds of resources and support necessary to fulfill the Committee’s duties. The Committee may invite executives to meetings if it deems necessary and obtain their opinions. The Committee may benefit from independent expert opinions on issues related to its activities when deemed necessary. The service fees for the consulting activities required by the Committee shall be borne by the Company. </w:t>
      </w:r>
    </w:p>
    <w:p w14:paraId="727D3FCB" w14:textId="77777777" w:rsidR="00D5532D" w:rsidRDefault="00D5532D" w:rsidP="00D5532D">
      <w:pPr>
        <w:pStyle w:val="ListeParagraf"/>
        <w:suppressAutoHyphens w:val="0"/>
        <w:spacing w:line="254" w:lineRule="auto"/>
        <w:ind w:left="360"/>
        <w:contextualSpacing/>
        <w:rPr>
          <w:rFonts w:ascii="Arial" w:hAnsi="Arial" w:cs="Arial"/>
        </w:rPr>
      </w:pPr>
    </w:p>
    <w:p w14:paraId="4A0531A7" w14:textId="77777777" w:rsidR="00D5532D" w:rsidRDefault="00D5532D" w:rsidP="00D5532D">
      <w:pPr>
        <w:pStyle w:val="ListeParagraf"/>
        <w:suppressAutoHyphens w:val="0"/>
        <w:spacing w:line="254" w:lineRule="auto"/>
        <w:ind w:left="360"/>
        <w:contextualSpacing/>
        <w:rPr>
          <w:rFonts w:ascii="Arial" w:hAnsi="Arial" w:cs="Arial"/>
        </w:rPr>
      </w:pPr>
      <w:r>
        <w:rPr>
          <w:rFonts w:ascii="Arial" w:hAnsi="Arial" w:cs="Arial"/>
        </w:rPr>
        <w:t xml:space="preserve">In accordance with the Capital Markets Legislation and principles stated herein this Regulation, the Committee undertakes to monitor the Company’s accounting system, public disclosure of financial information, independent audit and the operation and efficiency of internal control system. </w:t>
      </w:r>
    </w:p>
    <w:p w14:paraId="444EA484" w14:textId="77777777" w:rsidR="00D5532D" w:rsidRDefault="00D5532D" w:rsidP="00D5532D">
      <w:pPr>
        <w:pStyle w:val="ListeParagraf"/>
        <w:suppressAutoHyphens w:val="0"/>
        <w:spacing w:line="254" w:lineRule="auto"/>
        <w:ind w:left="360"/>
        <w:contextualSpacing/>
        <w:jc w:val="both"/>
        <w:rPr>
          <w:rFonts w:ascii="Arial" w:hAnsi="Arial" w:cs="Arial"/>
        </w:rPr>
      </w:pPr>
    </w:p>
    <w:p w14:paraId="180A356C" w14:textId="77777777" w:rsidR="00D5532D" w:rsidRDefault="00D5532D" w:rsidP="00D5532D">
      <w:pPr>
        <w:pStyle w:val="ListeParagraf"/>
        <w:suppressAutoHyphens w:val="0"/>
        <w:spacing w:line="252" w:lineRule="auto"/>
        <w:ind w:left="360"/>
        <w:contextualSpacing/>
        <w:jc w:val="both"/>
        <w:rPr>
          <w:rFonts w:ascii="Arial" w:hAnsi="Arial" w:cs="Arial"/>
        </w:rPr>
      </w:pPr>
    </w:p>
    <w:p w14:paraId="5AB01F10" w14:textId="77777777" w:rsidR="00D5532D" w:rsidRDefault="00D5532D" w:rsidP="00D5532D">
      <w:pPr>
        <w:pStyle w:val="ListeParagraf"/>
        <w:numPr>
          <w:ilvl w:val="0"/>
          <w:numId w:val="1"/>
        </w:numPr>
        <w:suppressAutoHyphens w:val="0"/>
        <w:spacing w:line="252" w:lineRule="auto"/>
        <w:contextualSpacing/>
        <w:jc w:val="both"/>
        <w:rPr>
          <w:rFonts w:ascii="Arial" w:hAnsi="Arial" w:cs="Arial"/>
          <w:b/>
          <w:bCs/>
        </w:rPr>
      </w:pPr>
      <w:r>
        <w:rPr>
          <w:rFonts w:ascii="Arial" w:hAnsi="Arial" w:cs="Arial"/>
          <w:b/>
          <w:bCs/>
        </w:rPr>
        <w:t xml:space="preserve">Structure of the Committee </w:t>
      </w:r>
    </w:p>
    <w:p w14:paraId="31A496CF" w14:textId="77777777" w:rsidR="00D5532D" w:rsidRDefault="00D5532D" w:rsidP="00D5532D">
      <w:pPr>
        <w:pStyle w:val="ListeParagraf"/>
        <w:suppressAutoHyphens w:val="0"/>
        <w:spacing w:line="252" w:lineRule="auto"/>
        <w:ind w:left="360"/>
        <w:contextualSpacing/>
        <w:jc w:val="both"/>
        <w:rPr>
          <w:rFonts w:ascii="Arial" w:hAnsi="Arial" w:cs="Arial"/>
          <w:b/>
          <w:bCs/>
        </w:rPr>
      </w:pPr>
    </w:p>
    <w:p w14:paraId="123A4F8E" w14:textId="77777777" w:rsidR="00D5532D" w:rsidRDefault="00D5532D" w:rsidP="00D5532D">
      <w:pPr>
        <w:pStyle w:val="ListeParagraf"/>
        <w:suppressAutoHyphens w:val="0"/>
        <w:spacing w:line="252" w:lineRule="auto"/>
        <w:ind w:left="360"/>
        <w:contextualSpacing/>
        <w:rPr>
          <w:rFonts w:ascii="Arial" w:hAnsi="Arial" w:cs="Arial"/>
        </w:rPr>
      </w:pPr>
      <w:r>
        <w:rPr>
          <w:rFonts w:ascii="Arial" w:hAnsi="Arial" w:cs="Arial"/>
        </w:rPr>
        <w:t>All of members of the Committee shall be selected among Board Members and it shall consist of at least two members..</w:t>
      </w:r>
    </w:p>
    <w:p w14:paraId="620AB195" w14:textId="77777777" w:rsidR="00D5532D" w:rsidRDefault="00D5532D" w:rsidP="00D5532D">
      <w:pPr>
        <w:pStyle w:val="ListeParagraf"/>
        <w:suppressAutoHyphens w:val="0"/>
        <w:spacing w:line="252" w:lineRule="auto"/>
        <w:ind w:left="360"/>
        <w:contextualSpacing/>
        <w:rPr>
          <w:rFonts w:ascii="Arial" w:hAnsi="Arial" w:cs="Arial"/>
        </w:rPr>
      </w:pPr>
    </w:p>
    <w:p w14:paraId="4F4B8768" w14:textId="77777777" w:rsidR="00D5532D" w:rsidRDefault="00D5532D" w:rsidP="00D5532D">
      <w:pPr>
        <w:pStyle w:val="ListeParagraf"/>
        <w:suppressAutoHyphens w:val="0"/>
        <w:spacing w:line="252" w:lineRule="auto"/>
        <w:ind w:left="360"/>
        <w:contextualSpacing/>
        <w:rPr>
          <w:rFonts w:ascii="Arial" w:hAnsi="Arial" w:cs="Arial"/>
        </w:rPr>
      </w:pPr>
    </w:p>
    <w:p w14:paraId="1F96784D" w14:textId="77777777" w:rsidR="00D5532D" w:rsidRDefault="00D5532D" w:rsidP="00D5532D">
      <w:pPr>
        <w:pStyle w:val="ListeParagraf"/>
        <w:suppressAutoHyphens w:val="0"/>
        <w:spacing w:line="252" w:lineRule="auto"/>
        <w:ind w:left="360"/>
        <w:contextualSpacing/>
        <w:rPr>
          <w:rFonts w:ascii="Arial" w:hAnsi="Arial" w:cs="Arial"/>
        </w:rPr>
      </w:pPr>
    </w:p>
    <w:p w14:paraId="6A91DB71" w14:textId="77777777" w:rsidR="00D5532D" w:rsidRDefault="00D5532D" w:rsidP="00D5532D">
      <w:pPr>
        <w:pStyle w:val="ListeParagraf"/>
        <w:numPr>
          <w:ilvl w:val="0"/>
          <w:numId w:val="1"/>
        </w:numPr>
        <w:suppressAutoHyphens w:val="0"/>
        <w:spacing w:line="252" w:lineRule="auto"/>
        <w:contextualSpacing/>
        <w:rPr>
          <w:rFonts w:ascii="Arial" w:hAnsi="Arial" w:cs="Arial"/>
          <w:b/>
          <w:bCs/>
        </w:rPr>
      </w:pPr>
      <w:r>
        <w:rPr>
          <w:rFonts w:ascii="Arial" w:hAnsi="Arial" w:cs="Arial"/>
          <w:b/>
          <w:bCs/>
        </w:rPr>
        <w:t xml:space="preserve">Committee Meetings and Reporting </w:t>
      </w:r>
    </w:p>
    <w:p w14:paraId="789C641A" w14:textId="77777777" w:rsidR="00D5532D" w:rsidRDefault="00D5532D" w:rsidP="00D5532D">
      <w:pPr>
        <w:pStyle w:val="ListeParagraf"/>
        <w:suppressAutoHyphens w:val="0"/>
        <w:spacing w:line="252" w:lineRule="auto"/>
        <w:ind w:left="360"/>
        <w:contextualSpacing/>
        <w:rPr>
          <w:rFonts w:ascii="Arial" w:hAnsi="Arial" w:cs="Arial"/>
          <w:b/>
          <w:bCs/>
        </w:rPr>
      </w:pPr>
    </w:p>
    <w:p w14:paraId="22B9226C" w14:textId="77777777" w:rsidR="00D5532D" w:rsidRDefault="00D5532D" w:rsidP="00D5532D">
      <w:pPr>
        <w:pStyle w:val="ListeParagraf"/>
        <w:suppressAutoHyphens w:val="0"/>
        <w:spacing w:line="252" w:lineRule="auto"/>
        <w:ind w:left="720"/>
        <w:contextualSpacing/>
        <w:jc w:val="both"/>
        <w:rPr>
          <w:rFonts w:ascii="Arial" w:hAnsi="Arial" w:cs="Arial"/>
        </w:rPr>
      </w:pPr>
      <w:r>
        <w:rPr>
          <w:rFonts w:ascii="Arial" w:hAnsi="Arial" w:cs="Arial"/>
        </w:rPr>
        <w:t>The Committee shall meet at least four times annually, being once in 3 months. The Committee shall meet with one more than half of its members and take decisions by majority. The decisions of the Committee are written down and recorded. The Committee shall submit the report including its operation and the results of the meeting to the Board of Directors.</w:t>
      </w:r>
    </w:p>
    <w:p w14:paraId="336A4F25" w14:textId="77777777" w:rsidR="00D5532D" w:rsidRDefault="00D5532D" w:rsidP="00D5532D">
      <w:pPr>
        <w:pStyle w:val="ListeParagraf"/>
        <w:suppressAutoHyphens w:val="0"/>
        <w:spacing w:line="252" w:lineRule="auto"/>
        <w:ind w:left="720"/>
        <w:contextualSpacing/>
        <w:jc w:val="both"/>
        <w:rPr>
          <w:rFonts w:ascii="Arial" w:hAnsi="Arial" w:cs="Arial"/>
          <w:b/>
          <w:bCs/>
        </w:rPr>
      </w:pPr>
    </w:p>
    <w:p w14:paraId="106B03FA" w14:textId="77777777" w:rsidR="00D5532D" w:rsidRDefault="00D5532D" w:rsidP="00D5532D">
      <w:pPr>
        <w:pStyle w:val="ListeParagraf"/>
        <w:numPr>
          <w:ilvl w:val="0"/>
          <w:numId w:val="1"/>
        </w:numPr>
        <w:suppressAutoHyphens w:val="0"/>
        <w:spacing w:line="252" w:lineRule="auto"/>
        <w:contextualSpacing/>
        <w:jc w:val="both"/>
        <w:rPr>
          <w:rFonts w:ascii="Arial" w:hAnsi="Arial" w:cs="Arial"/>
        </w:rPr>
      </w:pPr>
      <w:r>
        <w:rPr>
          <w:rFonts w:ascii="Arial" w:hAnsi="Arial" w:cs="Arial"/>
          <w:b/>
          <w:bCs/>
        </w:rPr>
        <w:t>Roles and Responsibilities</w:t>
      </w:r>
    </w:p>
    <w:p w14:paraId="748456DF" w14:textId="77777777" w:rsidR="00D5532D" w:rsidRDefault="00D5532D" w:rsidP="00D5532D">
      <w:pPr>
        <w:pStyle w:val="ListeParagraf"/>
        <w:suppressAutoHyphens w:val="0"/>
        <w:spacing w:line="252" w:lineRule="auto"/>
        <w:ind w:left="284"/>
        <w:contextualSpacing/>
        <w:jc w:val="both"/>
        <w:rPr>
          <w:rFonts w:ascii="Arial" w:hAnsi="Arial" w:cs="Arial"/>
        </w:rPr>
      </w:pPr>
    </w:p>
    <w:p w14:paraId="1405AD0A" w14:textId="77777777" w:rsidR="00D5532D" w:rsidRDefault="00D5532D" w:rsidP="00D5532D">
      <w:pPr>
        <w:pStyle w:val="ListeParagraf"/>
        <w:numPr>
          <w:ilvl w:val="0"/>
          <w:numId w:val="2"/>
        </w:numPr>
        <w:tabs>
          <w:tab w:val="left" w:pos="142"/>
        </w:tabs>
        <w:jc w:val="both"/>
        <w:rPr>
          <w:rFonts w:ascii="Arial" w:hAnsi="Arial" w:cs="Arial"/>
        </w:rPr>
      </w:pPr>
      <w:r>
        <w:rPr>
          <w:rFonts w:ascii="Arial" w:hAnsi="Arial" w:cs="Arial"/>
        </w:rPr>
        <w:t>The Company’s accounting system, public disclosure of financial information,</w:t>
      </w:r>
    </w:p>
    <w:p w14:paraId="38CC0E35" w14:textId="77777777" w:rsidR="00D5532D" w:rsidRDefault="00D5532D" w:rsidP="00D5532D">
      <w:pPr>
        <w:pStyle w:val="ListeParagraf"/>
        <w:tabs>
          <w:tab w:val="left" w:pos="142"/>
        </w:tabs>
        <w:ind w:left="720"/>
        <w:jc w:val="both"/>
        <w:rPr>
          <w:rFonts w:ascii="Arial" w:hAnsi="Arial" w:cs="Arial"/>
        </w:rPr>
      </w:pPr>
      <w:r>
        <w:rPr>
          <w:rFonts w:ascii="Arial" w:hAnsi="Arial" w:cs="Arial"/>
        </w:rPr>
        <w:t>independent audit and the operation and efficiency of internal control system</w:t>
      </w:r>
    </w:p>
    <w:p w14:paraId="0749DC3A" w14:textId="77777777" w:rsidR="00D5532D" w:rsidRDefault="00D5532D" w:rsidP="00D5532D">
      <w:pPr>
        <w:pStyle w:val="ListeParagraf"/>
        <w:tabs>
          <w:tab w:val="left" w:pos="142"/>
        </w:tabs>
        <w:ind w:left="720"/>
        <w:jc w:val="both"/>
        <w:rPr>
          <w:rFonts w:ascii="Arial" w:hAnsi="Arial" w:cs="Arial"/>
        </w:rPr>
      </w:pPr>
      <w:r>
        <w:rPr>
          <w:rFonts w:ascii="Arial" w:hAnsi="Arial" w:cs="Arial"/>
        </w:rPr>
        <w:t>shall be monitored by the Committee.</w:t>
      </w:r>
    </w:p>
    <w:p w14:paraId="37924FCC" w14:textId="77777777" w:rsidR="00D5532D" w:rsidRDefault="00D5532D" w:rsidP="00D5532D">
      <w:pPr>
        <w:pStyle w:val="ListeParagraf"/>
        <w:tabs>
          <w:tab w:val="left" w:pos="142"/>
        </w:tabs>
        <w:ind w:left="720"/>
        <w:jc w:val="both"/>
        <w:rPr>
          <w:rFonts w:ascii="Arial" w:hAnsi="Arial" w:cs="Arial"/>
        </w:rPr>
      </w:pPr>
    </w:p>
    <w:p w14:paraId="030C1DD4" w14:textId="77777777" w:rsidR="00D5532D" w:rsidRDefault="00D5532D" w:rsidP="00D5532D">
      <w:pPr>
        <w:pStyle w:val="ListeParagraf"/>
        <w:numPr>
          <w:ilvl w:val="0"/>
          <w:numId w:val="2"/>
        </w:numPr>
        <w:tabs>
          <w:tab w:val="left" w:pos="142"/>
        </w:tabs>
        <w:jc w:val="both"/>
        <w:rPr>
          <w:rFonts w:ascii="Arial" w:hAnsi="Arial" w:cs="Arial"/>
        </w:rPr>
      </w:pPr>
      <w:r>
        <w:rPr>
          <w:rFonts w:ascii="Arial" w:hAnsi="Arial" w:cs="Arial"/>
        </w:rPr>
        <w:lastRenderedPageBreak/>
        <w:t>The selection of the independent audit firm, the initiation of independent audit</w:t>
      </w:r>
    </w:p>
    <w:p w14:paraId="02E103E5" w14:textId="77777777" w:rsidR="00D5532D" w:rsidRDefault="00D5532D" w:rsidP="00D5532D">
      <w:pPr>
        <w:pStyle w:val="ListeParagraf"/>
        <w:tabs>
          <w:tab w:val="left" w:pos="142"/>
        </w:tabs>
        <w:ind w:left="720"/>
        <w:jc w:val="both"/>
        <w:rPr>
          <w:rFonts w:ascii="Arial" w:hAnsi="Arial" w:cs="Arial"/>
        </w:rPr>
      </w:pPr>
      <w:r>
        <w:rPr>
          <w:rFonts w:ascii="Arial" w:hAnsi="Arial" w:cs="Arial"/>
        </w:rPr>
        <w:t>process following the preparation of independent audit agreements and the</w:t>
      </w:r>
    </w:p>
    <w:p w14:paraId="0D5F0C50" w14:textId="77777777" w:rsidR="00D5532D" w:rsidRDefault="00D5532D" w:rsidP="00D5532D">
      <w:pPr>
        <w:pStyle w:val="ListeParagraf"/>
        <w:tabs>
          <w:tab w:val="left" w:pos="142"/>
        </w:tabs>
        <w:ind w:left="720"/>
        <w:jc w:val="both"/>
        <w:rPr>
          <w:rFonts w:ascii="Arial" w:hAnsi="Arial" w:cs="Arial"/>
        </w:rPr>
      </w:pPr>
      <w:r>
        <w:rPr>
          <w:rFonts w:ascii="Arial" w:hAnsi="Arial" w:cs="Arial"/>
        </w:rPr>
        <w:t>works of the independent audit company at all stages shall be monitored by the</w:t>
      </w:r>
    </w:p>
    <w:p w14:paraId="1268124E" w14:textId="77777777" w:rsidR="00D5532D" w:rsidRDefault="00D5532D" w:rsidP="00D5532D">
      <w:pPr>
        <w:pStyle w:val="ListeParagraf"/>
        <w:tabs>
          <w:tab w:val="left" w:pos="142"/>
        </w:tabs>
        <w:ind w:left="720"/>
        <w:jc w:val="both"/>
        <w:rPr>
          <w:rFonts w:ascii="Arial" w:hAnsi="Arial" w:cs="Arial"/>
        </w:rPr>
      </w:pPr>
      <w:r>
        <w:rPr>
          <w:rFonts w:ascii="Arial" w:hAnsi="Arial" w:cs="Arial"/>
        </w:rPr>
        <w:t>Committee. In this context, the Committee shall determine the independent</w:t>
      </w:r>
    </w:p>
    <w:p w14:paraId="3D9303DC" w14:textId="77777777" w:rsidR="00D5532D" w:rsidRDefault="00D5532D" w:rsidP="00D5532D">
      <w:pPr>
        <w:pStyle w:val="ListeParagraf"/>
        <w:tabs>
          <w:tab w:val="left" w:pos="142"/>
        </w:tabs>
        <w:ind w:left="720"/>
        <w:jc w:val="both"/>
        <w:rPr>
          <w:rFonts w:ascii="Arial" w:hAnsi="Arial" w:cs="Arial"/>
        </w:rPr>
      </w:pPr>
      <w:r>
        <w:rPr>
          <w:rFonts w:ascii="Arial" w:hAnsi="Arial" w:cs="Arial"/>
        </w:rPr>
        <w:t>audit firm from which the service will be obtained and the services to be obtained</w:t>
      </w:r>
    </w:p>
    <w:p w14:paraId="4C07E82E" w14:textId="77777777" w:rsidR="00D5532D" w:rsidRDefault="00D5532D" w:rsidP="00D5532D">
      <w:pPr>
        <w:pStyle w:val="ListeParagraf"/>
        <w:tabs>
          <w:tab w:val="left" w:pos="142"/>
        </w:tabs>
        <w:jc w:val="both"/>
        <w:rPr>
          <w:rFonts w:ascii="Arial" w:hAnsi="Arial" w:cs="Arial"/>
        </w:rPr>
      </w:pPr>
      <w:r>
        <w:rPr>
          <w:rFonts w:ascii="Arial" w:hAnsi="Arial" w:cs="Arial"/>
        </w:rPr>
        <w:t>from these firms, and it shall submit the said to the Board of Directors for</w:t>
      </w:r>
    </w:p>
    <w:p w14:paraId="66630B7E" w14:textId="77777777" w:rsidR="00D5532D" w:rsidRDefault="00D5532D" w:rsidP="00D5532D">
      <w:pPr>
        <w:pStyle w:val="ListeParagraf"/>
        <w:tabs>
          <w:tab w:val="left" w:pos="142"/>
        </w:tabs>
        <w:jc w:val="both"/>
        <w:rPr>
          <w:rFonts w:ascii="Arial" w:hAnsi="Arial" w:cs="Arial"/>
        </w:rPr>
      </w:pPr>
      <w:r>
        <w:rPr>
          <w:rFonts w:ascii="Arial" w:hAnsi="Arial" w:cs="Arial"/>
        </w:rPr>
        <w:t>approval.</w:t>
      </w:r>
    </w:p>
    <w:p w14:paraId="00BCD85D" w14:textId="77777777" w:rsidR="00D5532D" w:rsidRDefault="00D5532D" w:rsidP="00D5532D">
      <w:pPr>
        <w:pStyle w:val="ListeParagraf"/>
        <w:tabs>
          <w:tab w:val="left" w:pos="142"/>
        </w:tabs>
        <w:jc w:val="both"/>
        <w:rPr>
          <w:rFonts w:ascii="Arial" w:hAnsi="Arial" w:cs="Arial"/>
        </w:rPr>
      </w:pPr>
    </w:p>
    <w:p w14:paraId="67C5175D" w14:textId="77777777" w:rsidR="00D5532D" w:rsidRDefault="00D5532D" w:rsidP="00D5532D">
      <w:pPr>
        <w:pStyle w:val="ListeParagraf"/>
        <w:numPr>
          <w:ilvl w:val="0"/>
          <w:numId w:val="2"/>
        </w:numPr>
        <w:tabs>
          <w:tab w:val="left" w:pos="142"/>
        </w:tabs>
        <w:jc w:val="both"/>
        <w:rPr>
          <w:rFonts w:ascii="Arial" w:hAnsi="Arial" w:cs="Arial"/>
        </w:rPr>
      </w:pPr>
      <w:r>
        <w:rPr>
          <w:rFonts w:ascii="Arial" w:hAnsi="Arial" w:cs="Arial"/>
        </w:rPr>
        <w:t>The Committee shall determine the procedures and criteria to be applied in the</w:t>
      </w:r>
    </w:p>
    <w:p w14:paraId="0F1E31BE" w14:textId="77777777" w:rsidR="00D5532D" w:rsidRDefault="00D5532D" w:rsidP="00D5532D">
      <w:pPr>
        <w:pStyle w:val="ListeParagraf"/>
        <w:tabs>
          <w:tab w:val="left" w:pos="142"/>
        </w:tabs>
        <w:ind w:left="720"/>
        <w:jc w:val="both"/>
        <w:rPr>
          <w:rFonts w:ascii="Arial" w:hAnsi="Arial" w:cs="Arial"/>
        </w:rPr>
      </w:pPr>
      <w:r>
        <w:rPr>
          <w:rFonts w:ascii="Arial" w:hAnsi="Arial" w:cs="Arial"/>
        </w:rPr>
        <w:t>review of complaints received by the Company regarding Company’s</w:t>
      </w:r>
    </w:p>
    <w:p w14:paraId="1466F4A2" w14:textId="77777777" w:rsidR="00D5532D" w:rsidRDefault="00D5532D" w:rsidP="00D5532D">
      <w:pPr>
        <w:pStyle w:val="ListeParagraf"/>
        <w:tabs>
          <w:tab w:val="left" w:pos="142"/>
        </w:tabs>
        <w:jc w:val="both"/>
        <w:rPr>
          <w:rFonts w:ascii="Arial" w:hAnsi="Arial" w:cs="Arial"/>
        </w:rPr>
      </w:pPr>
      <w:r>
        <w:rPr>
          <w:rFonts w:ascii="Arial" w:hAnsi="Arial" w:cs="Arial"/>
        </w:rPr>
        <w:t>accounting and internal control plus independent auditing, resolving thereof, the</w:t>
      </w:r>
    </w:p>
    <w:p w14:paraId="4CC39D94" w14:textId="77777777" w:rsidR="00D5532D" w:rsidRDefault="00D5532D" w:rsidP="00D5532D">
      <w:pPr>
        <w:pStyle w:val="ListeParagraf"/>
        <w:tabs>
          <w:tab w:val="left" w:pos="142"/>
        </w:tabs>
        <w:ind w:left="720"/>
        <w:jc w:val="both"/>
        <w:rPr>
          <w:rFonts w:ascii="Arial" w:hAnsi="Arial" w:cs="Arial"/>
        </w:rPr>
      </w:pPr>
      <w:r>
        <w:rPr>
          <w:rFonts w:ascii="Arial" w:hAnsi="Arial" w:cs="Arial"/>
        </w:rPr>
        <w:t>review of Company’s notifications regarding accounting and independent</w:t>
      </w:r>
    </w:p>
    <w:p w14:paraId="07810F7C" w14:textId="77777777" w:rsidR="00D5532D" w:rsidRDefault="00D5532D" w:rsidP="00D5532D">
      <w:pPr>
        <w:pStyle w:val="ListeParagraf"/>
        <w:tabs>
          <w:tab w:val="left" w:pos="142"/>
        </w:tabs>
        <w:ind w:left="720"/>
        <w:jc w:val="both"/>
        <w:rPr>
          <w:rFonts w:ascii="Arial" w:hAnsi="Arial" w:cs="Arial"/>
        </w:rPr>
      </w:pPr>
      <w:r>
        <w:rPr>
          <w:rFonts w:ascii="Arial" w:hAnsi="Arial" w:cs="Arial"/>
        </w:rPr>
        <w:t>auditing within the context of confidentiality policy.</w:t>
      </w:r>
    </w:p>
    <w:p w14:paraId="7D3BBDEB" w14:textId="77777777" w:rsidR="00D5532D" w:rsidRDefault="00D5532D" w:rsidP="00D5532D">
      <w:pPr>
        <w:pStyle w:val="ListeParagraf"/>
        <w:tabs>
          <w:tab w:val="left" w:pos="142"/>
        </w:tabs>
        <w:ind w:left="720"/>
        <w:jc w:val="both"/>
        <w:rPr>
          <w:rFonts w:ascii="Arial" w:hAnsi="Arial" w:cs="Arial"/>
        </w:rPr>
      </w:pPr>
    </w:p>
    <w:p w14:paraId="77F1D136" w14:textId="77777777" w:rsidR="00D5532D" w:rsidRDefault="00D5532D" w:rsidP="00D5532D">
      <w:pPr>
        <w:pStyle w:val="ListeParagraf"/>
        <w:numPr>
          <w:ilvl w:val="0"/>
          <w:numId w:val="2"/>
        </w:numPr>
        <w:tabs>
          <w:tab w:val="left" w:pos="142"/>
        </w:tabs>
        <w:jc w:val="both"/>
        <w:rPr>
          <w:rFonts w:ascii="Arial" w:hAnsi="Arial" w:cs="Arial"/>
        </w:rPr>
      </w:pPr>
      <w:r>
        <w:rPr>
          <w:rFonts w:ascii="Arial" w:hAnsi="Arial" w:cs="Arial"/>
        </w:rPr>
        <w:t>After obtaining the opinions of responsible executives of the partnership and</w:t>
      </w:r>
    </w:p>
    <w:p w14:paraId="12F3F3BD" w14:textId="77777777" w:rsidR="00D5532D" w:rsidRDefault="00D5532D" w:rsidP="00D5532D">
      <w:pPr>
        <w:pStyle w:val="ListeParagraf"/>
        <w:tabs>
          <w:tab w:val="left" w:pos="142"/>
        </w:tabs>
        <w:ind w:left="720"/>
        <w:jc w:val="both"/>
        <w:rPr>
          <w:rFonts w:ascii="Arial" w:hAnsi="Arial" w:cs="Arial"/>
        </w:rPr>
      </w:pPr>
      <w:r>
        <w:rPr>
          <w:rFonts w:ascii="Arial" w:hAnsi="Arial" w:cs="Arial"/>
        </w:rPr>
        <w:t>independent auditors and by including its own reviews; the Committee shall</w:t>
      </w:r>
    </w:p>
    <w:p w14:paraId="33DA5B86" w14:textId="77777777" w:rsidR="00D5532D" w:rsidRDefault="00D5532D" w:rsidP="00D5532D">
      <w:pPr>
        <w:pStyle w:val="ListeParagraf"/>
        <w:tabs>
          <w:tab w:val="left" w:pos="142"/>
        </w:tabs>
        <w:ind w:left="720"/>
        <w:jc w:val="both"/>
        <w:rPr>
          <w:rFonts w:ascii="Arial" w:hAnsi="Arial" w:cs="Arial"/>
        </w:rPr>
      </w:pPr>
      <w:r>
        <w:rPr>
          <w:rFonts w:ascii="Arial" w:hAnsi="Arial" w:cs="Arial"/>
        </w:rPr>
        <w:t>submit in writing a report concerning the accuracy of annual and interim financial</w:t>
      </w:r>
    </w:p>
    <w:p w14:paraId="5AF5F08E" w14:textId="77777777" w:rsidR="00D5532D" w:rsidRDefault="00D5532D" w:rsidP="00D5532D">
      <w:pPr>
        <w:pStyle w:val="ListeParagraf"/>
        <w:tabs>
          <w:tab w:val="left" w:pos="142"/>
        </w:tabs>
        <w:ind w:left="720"/>
        <w:jc w:val="both"/>
        <w:rPr>
          <w:rFonts w:ascii="Arial" w:hAnsi="Arial" w:cs="Arial"/>
        </w:rPr>
      </w:pPr>
      <w:r>
        <w:rPr>
          <w:rFonts w:ascii="Arial" w:hAnsi="Arial" w:cs="Arial"/>
        </w:rPr>
        <w:t>statements to be disclosed to public and compliance thereof to the accounting</w:t>
      </w:r>
    </w:p>
    <w:p w14:paraId="281A5F5D" w14:textId="77777777" w:rsidR="00D5532D" w:rsidRDefault="00D5532D" w:rsidP="00D5532D">
      <w:pPr>
        <w:pStyle w:val="ListeParagraf"/>
        <w:tabs>
          <w:tab w:val="left" w:pos="142"/>
        </w:tabs>
        <w:ind w:left="720"/>
        <w:jc w:val="both"/>
        <w:rPr>
          <w:rFonts w:ascii="Arial" w:hAnsi="Arial" w:cs="Arial"/>
        </w:rPr>
      </w:pPr>
      <w:r>
        <w:rPr>
          <w:rFonts w:ascii="Arial" w:hAnsi="Arial" w:cs="Arial"/>
        </w:rPr>
        <w:t>principles of the Company and facts.</w:t>
      </w:r>
    </w:p>
    <w:p w14:paraId="16C93C38" w14:textId="77777777" w:rsidR="00D5532D" w:rsidRDefault="00D5532D" w:rsidP="00D5532D">
      <w:pPr>
        <w:pStyle w:val="ListeParagraf"/>
        <w:tabs>
          <w:tab w:val="left" w:pos="142"/>
        </w:tabs>
        <w:ind w:left="720"/>
        <w:jc w:val="both"/>
        <w:rPr>
          <w:rFonts w:ascii="Arial" w:hAnsi="Arial" w:cs="Arial"/>
        </w:rPr>
      </w:pPr>
    </w:p>
    <w:p w14:paraId="4117E41F" w14:textId="77777777" w:rsidR="00D5532D" w:rsidRDefault="00D5532D" w:rsidP="00D5532D">
      <w:pPr>
        <w:pStyle w:val="ListeParagraf"/>
        <w:numPr>
          <w:ilvl w:val="0"/>
          <w:numId w:val="2"/>
        </w:numPr>
        <w:tabs>
          <w:tab w:val="left" w:pos="142"/>
        </w:tabs>
        <w:jc w:val="both"/>
        <w:rPr>
          <w:rFonts w:ascii="Arial" w:hAnsi="Arial" w:cs="Arial"/>
        </w:rPr>
      </w:pPr>
      <w:r>
        <w:rPr>
          <w:rFonts w:ascii="Arial" w:hAnsi="Arial" w:cs="Arial"/>
        </w:rPr>
        <w:t>The Committee shall immediately notify the Board of Directors in writing the</w:t>
      </w:r>
    </w:p>
    <w:p w14:paraId="4C974071" w14:textId="77777777" w:rsidR="00D5532D" w:rsidRDefault="00D5532D" w:rsidP="00D5532D">
      <w:pPr>
        <w:pStyle w:val="ListeParagraf"/>
        <w:tabs>
          <w:tab w:val="left" w:pos="142"/>
        </w:tabs>
        <w:ind w:left="720"/>
        <w:jc w:val="both"/>
        <w:rPr>
          <w:rFonts w:ascii="Arial" w:hAnsi="Arial" w:cs="Arial"/>
        </w:rPr>
      </w:pPr>
      <w:r>
        <w:rPr>
          <w:rFonts w:ascii="Arial" w:hAnsi="Arial" w:cs="Arial"/>
        </w:rPr>
        <w:t>determinations and recommendations regarding issues under its duty and</w:t>
      </w:r>
    </w:p>
    <w:p w14:paraId="61901E51" w14:textId="77777777" w:rsidR="00D5532D" w:rsidRDefault="00D5532D" w:rsidP="00D5532D">
      <w:pPr>
        <w:pStyle w:val="ListeParagraf"/>
        <w:tabs>
          <w:tab w:val="left" w:pos="142"/>
        </w:tabs>
        <w:jc w:val="both"/>
        <w:rPr>
          <w:rFonts w:ascii="Arial" w:hAnsi="Arial" w:cs="Arial"/>
        </w:rPr>
      </w:pPr>
      <w:r>
        <w:rPr>
          <w:rFonts w:ascii="Arial" w:hAnsi="Arial" w:cs="Arial"/>
        </w:rPr>
        <w:t>responsibility.</w:t>
      </w:r>
    </w:p>
    <w:p w14:paraId="70E7FF83" w14:textId="77777777" w:rsidR="00D5532D" w:rsidRDefault="00D5532D" w:rsidP="00D5532D">
      <w:pPr>
        <w:pStyle w:val="ListeParagraf"/>
        <w:tabs>
          <w:tab w:val="left" w:pos="142"/>
        </w:tabs>
        <w:jc w:val="both"/>
        <w:rPr>
          <w:rFonts w:ascii="Arial" w:hAnsi="Arial" w:cs="Arial"/>
        </w:rPr>
      </w:pPr>
    </w:p>
    <w:p w14:paraId="0F42289F" w14:textId="77777777" w:rsidR="00D5532D" w:rsidRDefault="00D5532D" w:rsidP="00D5532D">
      <w:pPr>
        <w:pStyle w:val="ListeParagraf"/>
        <w:numPr>
          <w:ilvl w:val="0"/>
          <w:numId w:val="2"/>
        </w:numPr>
        <w:tabs>
          <w:tab w:val="left" w:pos="142"/>
        </w:tabs>
        <w:jc w:val="both"/>
        <w:rPr>
          <w:rFonts w:ascii="Arial" w:hAnsi="Arial" w:cs="Arial"/>
        </w:rPr>
      </w:pPr>
      <w:r>
        <w:rPr>
          <w:rFonts w:ascii="Arial" w:hAnsi="Arial" w:cs="Arial"/>
        </w:rPr>
        <w:t>Performs other duties that may be assigned to the committee by the Capital Market Legislation and the Turkish Commercial Code.</w:t>
      </w:r>
    </w:p>
    <w:p w14:paraId="781D221E" w14:textId="77777777" w:rsidR="00D5532D" w:rsidRDefault="00D5532D" w:rsidP="00D5532D">
      <w:pPr>
        <w:pStyle w:val="ListeParagraf"/>
        <w:tabs>
          <w:tab w:val="left" w:pos="142"/>
        </w:tabs>
        <w:ind w:left="0"/>
        <w:jc w:val="both"/>
        <w:rPr>
          <w:rFonts w:ascii="Arial" w:hAnsi="Arial" w:cs="Arial"/>
        </w:rPr>
      </w:pPr>
    </w:p>
    <w:p w14:paraId="35B8C95E" w14:textId="114CA37A" w:rsidR="00D5532D" w:rsidRDefault="00D5532D" w:rsidP="006D6B8E">
      <w:pPr>
        <w:pStyle w:val="ListeParagraf"/>
        <w:tabs>
          <w:tab w:val="left" w:pos="142"/>
        </w:tabs>
        <w:ind w:left="360"/>
        <w:jc w:val="both"/>
        <w:rPr>
          <w:rFonts w:ascii="Arial" w:hAnsi="Arial" w:cs="Arial"/>
        </w:rPr>
      </w:pPr>
      <w:r w:rsidRPr="006D6B8E">
        <w:rPr>
          <w:rFonts w:ascii="Arial" w:hAnsi="Arial" w:cs="Arial"/>
        </w:rPr>
        <w:t>The Committee is obliged to submit the reports required by all of the</w:t>
      </w:r>
      <w:r w:rsidR="0028709E">
        <w:rPr>
          <w:rFonts w:ascii="Arial" w:hAnsi="Arial" w:cs="Arial"/>
        </w:rPr>
        <w:t xml:space="preserve"> </w:t>
      </w:r>
      <w:r>
        <w:rPr>
          <w:rFonts w:ascii="Arial" w:hAnsi="Arial" w:cs="Arial"/>
        </w:rPr>
        <w:t>responsibilities fulfilled by the Committee to the Board of Directors.</w:t>
      </w:r>
    </w:p>
    <w:p w14:paraId="0D11E2A2" w14:textId="77777777" w:rsidR="00D5532D" w:rsidRDefault="00D5532D" w:rsidP="00D5532D">
      <w:pPr>
        <w:pStyle w:val="ListeParagraf"/>
        <w:tabs>
          <w:tab w:val="left" w:pos="142"/>
        </w:tabs>
        <w:ind w:left="720"/>
        <w:jc w:val="both"/>
        <w:rPr>
          <w:rFonts w:ascii="Arial" w:hAnsi="Arial" w:cs="Arial"/>
        </w:rPr>
      </w:pPr>
    </w:p>
    <w:p w14:paraId="02301F45" w14:textId="77777777" w:rsidR="00D5532D" w:rsidRDefault="00D5532D" w:rsidP="00D5532D">
      <w:pPr>
        <w:pStyle w:val="ListeParagraf"/>
        <w:tabs>
          <w:tab w:val="left" w:pos="142"/>
        </w:tabs>
        <w:ind w:left="284"/>
        <w:jc w:val="both"/>
        <w:rPr>
          <w:rFonts w:ascii="Arial" w:hAnsi="Arial" w:cs="Arial"/>
        </w:rPr>
      </w:pPr>
    </w:p>
    <w:p w14:paraId="0B2C594F" w14:textId="77777777" w:rsidR="00D5532D" w:rsidRDefault="00D5532D" w:rsidP="00D5532D">
      <w:pPr>
        <w:pStyle w:val="ListeParagraf"/>
        <w:numPr>
          <w:ilvl w:val="0"/>
          <w:numId w:val="1"/>
        </w:numPr>
        <w:tabs>
          <w:tab w:val="left" w:pos="142"/>
        </w:tabs>
        <w:jc w:val="both"/>
        <w:rPr>
          <w:rFonts w:ascii="Arial" w:hAnsi="Arial" w:cs="Arial"/>
          <w:b/>
          <w:bCs/>
        </w:rPr>
      </w:pPr>
      <w:r>
        <w:rPr>
          <w:rFonts w:ascii="Arial" w:hAnsi="Arial" w:cs="Arial"/>
          <w:b/>
          <w:bCs/>
        </w:rPr>
        <w:t>Effectiveness</w:t>
      </w:r>
    </w:p>
    <w:p w14:paraId="3F6AEADE" w14:textId="77777777" w:rsidR="00D5532D" w:rsidRDefault="00D5532D" w:rsidP="00D5532D">
      <w:pPr>
        <w:pStyle w:val="ListeParagraf"/>
        <w:tabs>
          <w:tab w:val="left" w:pos="142"/>
        </w:tabs>
        <w:ind w:left="360"/>
        <w:jc w:val="both"/>
        <w:rPr>
          <w:rFonts w:ascii="Arial" w:hAnsi="Arial" w:cs="Arial"/>
          <w:b/>
          <w:bCs/>
        </w:rPr>
      </w:pPr>
    </w:p>
    <w:p w14:paraId="03C115D8" w14:textId="77777777" w:rsidR="00D5532D" w:rsidRDefault="00D5532D" w:rsidP="00D5532D">
      <w:pPr>
        <w:pStyle w:val="ListeParagraf"/>
        <w:tabs>
          <w:tab w:val="left" w:pos="142"/>
        </w:tabs>
        <w:ind w:left="360"/>
        <w:jc w:val="both"/>
        <w:rPr>
          <w:rFonts w:ascii="Arial" w:hAnsi="Arial" w:cs="Arial"/>
        </w:rPr>
      </w:pPr>
      <w:r>
        <w:rPr>
          <w:rFonts w:ascii="Arial" w:hAnsi="Arial" w:cs="Arial"/>
        </w:rPr>
        <w:t>The Committee’s duties and operating principles and from which members it will consist of shall enter into force by Board of Directors decision and disclosed to the public.</w:t>
      </w:r>
    </w:p>
    <w:p w14:paraId="216FA370" w14:textId="77777777" w:rsidR="00D5532D" w:rsidRDefault="00D5532D" w:rsidP="00D5532D">
      <w:pPr>
        <w:pStyle w:val="ListeParagraf"/>
        <w:tabs>
          <w:tab w:val="left" w:pos="142"/>
        </w:tabs>
        <w:ind w:left="284"/>
        <w:jc w:val="both"/>
        <w:rPr>
          <w:rFonts w:ascii="Arial" w:hAnsi="Arial" w:cs="Arial"/>
        </w:rPr>
      </w:pPr>
    </w:p>
    <w:p w14:paraId="52DDBA5B" w14:textId="77777777" w:rsidR="00D5532D" w:rsidRDefault="00D5532D" w:rsidP="00D5532D">
      <w:pPr>
        <w:pStyle w:val="ListeParagraf"/>
        <w:tabs>
          <w:tab w:val="left" w:pos="142"/>
        </w:tabs>
        <w:ind w:left="360"/>
        <w:jc w:val="both"/>
      </w:pPr>
      <w:r>
        <w:rPr>
          <w:rFonts w:ascii="Arial" w:hAnsi="Arial" w:cs="Arial"/>
        </w:rPr>
        <w:t>.</w:t>
      </w:r>
    </w:p>
    <w:p w14:paraId="336D918B" w14:textId="77777777" w:rsidR="00BE494C" w:rsidRDefault="00BE494C"/>
    <w:sectPr w:rsidR="00BE49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6D763" w14:textId="77777777" w:rsidR="00D5532D" w:rsidRDefault="00D5532D" w:rsidP="00D5532D">
      <w:pPr>
        <w:spacing w:before="0"/>
      </w:pPr>
      <w:r>
        <w:separator/>
      </w:r>
    </w:p>
  </w:endnote>
  <w:endnote w:type="continuationSeparator" w:id="0">
    <w:p w14:paraId="3E7FD443" w14:textId="77777777" w:rsidR="00D5532D" w:rsidRDefault="00D5532D" w:rsidP="00D5532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T)">
    <w:altName w:val="Times New Roman"/>
    <w:charset w:val="A2"/>
    <w:family w:val="roman"/>
    <w:pitch w:val="variable"/>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55BA3" w14:textId="77777777" w:rsidR="00D5532D" w:rsidRDefault="00D5532D" w:rsidP="00D5532D">
      <w:pPr>
        <w:spacing w:before="0"/>
      </w:pPr>
      <w:r>
        <w:separator/>
      </w:r>
    </w:p>
  </w:footnote>
  <w:footnote w:type="continuationSeparator" w:id="0">
    <w:p w14:paraId="17AB68F6" w14:textId="77777777" w:rsidR="00D5532D" w:rsidRDefault="00D5532D" w:rsidP="00D5532D">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5653E"/>
    <w:multiLevelType w:val="hybridMultilevel"/>
    <w:tmpl w:val="C0BEEF8E"/>
    <w:lvl w:ilvl="0" w:tplc="041F0001">
      <w:start w:val="1"/>
      <w:numFmt w:val="bullet"/>
      <w:lvlText w:val=""/>
      <w:lvlJc w:val="left"/>
      <w:pPr>
        <w:ind w:left="1080" w:hanging="360"/>
      </w:pPr>
      <w:rPr>
        <w:rFonts w:ascii="Symbol" w:hAnsi="Symbol" w:hint="default"/>
      </w:rPr>
    </w:lvl>
    <w:lvl w:ilvl="1" w:tplc="BD56103C">
      <w:numFmt w:val="bullet"/>
      <w:lvlText w:val="-"/>
      <w:lvlJc w:val="left"/>
      <w:pPr>
        <w:ind w:left="1800" w:hanging="360"/>
      </w:pPr>
      <w:rPr>
        <w:rFonts w:ascii="Arial" w:eastAsia="Times New Roman" w:hAnsi="Arial" w:cs="Arial"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1" w15:restartNumberingAfterBreak="0">
    <w:nsid w:val="304755E5"/>
    <w:multiLevelType w:val="hybridMultilevel"/>
    <w:tmpl w:val="4C10761A"/>
    <w:lvl w:ilvl="0" w:tplc="8B244548">
      <w:start w:val="1"/>
      <w:numFmt w:val="decimal"/>
      <w:lvlText w:val="%1."/>
      <w:lvlJc w:val="left"/>
      <w:pPr>
        <w:ind w:left="720" w:hanging="360"/>
      </w:pPr>
      <w:rPr>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32D"/>
    <w:rsid w:val="0028709E"/>
    <w:rsid w:val="003569A7"/>
    <w:rsid w:val="006D6B8E"/>
    <w:rsid w:val="00BE494C"/>
    <w:rsid w:val="00D553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55C749"/>
  <w15:chartTrackingRefBased/>
  <w15:docId w15:val="{4AAE3ECE-3CE3-42C5-B30B-63CFB25C1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32D"/>
    <w:pPr>
      <w:suppressAutoHyphens/>
      <w:spacing w:before="120" w:after="0" w:line="240" w:lineRule="auto"/>
      <w:jc w:val="both"/>
    </w:pPr>
    <w:rPr>
      <w:rFonts w:ascii="Times New Roman" w:eastAsia="Times New Roman" w:hAnsi="Times New Roman" w:cs="Times New Roman"/>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5532D"/>
    <w:pPr>
      <w:tabs>
        <w:tab w:val="center" w:pos="4536"/>
        <w:tab w:val="right" w:pos="9072"/>
      </w:tabs>
    </w:pPr>
  </w:style>
  <w:style w:type="character" w:customStyle="1" w:styleId="stBilgiChar">
    <w:name w:val="Üst Bilgi Char"/>
    <w:basedOn w:val="VarsaylanParagrafYazTipi"/>
    <w:link w:val="stBilgi"/>
    <w:uiPriority w:val="99"/>
    <w:rsid w:val="00D5532D"/>
  </w:style>
  <w:style w:type="paragraph" w:styleId="AltBilgi">
    <w:name w:val="footer"/>
    <w:basedOn w:val="Normal"/>
    <w:link w:val="AltBilgiChar"/>
    <w:uiPriority w:val="99"/>
    <w:unhideWhenUsed/>
    <w:rsid w:val="00D5532D"/>
    <w:pPr>
      <w:tabs>
        <w:tab w:val="center" w:pos="4536"/>
        <w:tab w:val="right" w:pos="9072"/>
      </w:tabs>
    </w:pPr>
  </w:style>
  <w:style w:type="character" w:customStyle="1" w:styleId="AltBilgiChar">
    <w:name w:val="Alt Bilgi Char"/>
    <w:basedOn w:val="VarsaylanParagrafYazTipi"/>
    <w:link w:val="AltBilgi"/>
    <w:uiPriority w:val="99"/>
    <w:rsid w:val="00D5532D"/>
  </w:style>
  <w:style w:type="paragraph" w:styleId="ListeParagraf">
    <w:name w:val="List Paragraph"/>
    <w:basedOn w:val="Normal"/>
    <w:uiPriority w:val="34"/>
    <w:qFormat/>
    <w:rsid w:val="00D5532D"/>
    <w:pPr>
      <w:spacing w:before="0"/>
      <w:ind w:left="708"/>
      <w:jc w:val="left"/>
    </w:pPr>
    <w:rPr>
      <w:rFonts w:ascii="Times New Roman (WT)" w:hAnsi="Times New Roman (WT)"/>
      <w:color w:val="00000A"/>
      <w:sz w:val="20"/>
      <w:szCs w:val="20"/>
      <w:lang w:val="en-US"/>
    </w:rPr>
  </w:style>
  <w:style w:type="paragraph" w:styleId="Dzeltme">
    <w:name w:val="Revision"/>
    <w:hidden/>
    <w:uiPriority w:val="99"/>
    <w:semiHidden/>
    <w:rsid w:val="0028709E"/>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9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007ffc95-0d5a-4794-8918-e48017076cac" origin="userSelected">
  <element uid="id_classification_nonbusiness" value=""/>
</sisl>
</file>

<file path=customXml/itemProps1.xml><?xml version="1.0" encoding="utf-8"?>
<ds:datastoreItem xmlns:ds="http://schemas.openxmlformats.org/officeDocument/2006/customXml" ds:itemID="{A6D25E2B-98AF-4174-908A-E6DB595F5C2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619</Words>
  <Characters>3534</Characters>
  <Application>Microsoft Office Word</Application>
  <DocSecurity>0</DocSecurity>
  <Lines>29</Lines>
  <Paragraphs>8</Paragraphs>
  <ScaleCrop>false</ScaleCrop>
  <Company>Gedik Yatirim</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Beyzanur Gök</dc:creator>
  <cp:keywords/>
  <dc:description/>
  <cp:lastModifiedBy>Beyzanur Gök</cp:lastModifiedBy>
  <cp:revision>4</cp:revision>
  <dcterms:created xsi:type="dcterms:W3CDTF">2023-03-24T07:53:00Z</dcterms:created>
  <dcterms:modified xsi:type="dcterms:W3CDTF">2023-03-28T13:27:00Z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3a81bc4d-1692-440a-85b7-6bb9198fba18</vt:lpwstr>
  </property>
  <property fmtid="{D5CDD505-2E9C-101B-9397-08002B2CF9AE}" pid="3" name="bjClsUserRVM">
    <vt:lpwstr>[]</vt:lpwstr>
  </property>
  <property fmtid="{D5CDD505-2E9C-101B-9397-08002B2CF9AE}" pid="4" name="bjSaver">
    <vt:lpwstr>MnO+8CmcWiE2drsjVWY8p4yvEGhwcekI</vt:lpwstr>
  </property>
  <property fmtid="{D5CDD505-2E9C-101B-9397-08002B2CF9AE}" pid="5" name="bjDocumentLabelXML">
    <vt:lpwstr>&lt;?xml version="1.0" encoding="us-ascii"?&gt;&lt;sisl xmlns:xsd="http://www.w3.org/2001/XMLSchema" xmlns:xsi="http://www.w3.org/2001/XMLSchema-instance" sislVersion="0" policy="007ffc95-0d5a-4794-8918-e48017076cac" origin="userSelected" xmlns="http://www.boldonj</vt:lpwstr>
  </property>
  <property fmtid="{D5CDD505-2E9C-101B-9397-08002B2CF9AE}" pid="6" name="bjDocumentLabelXML-0">
    <vt:lpwstr>ames.com/2008/01/sie/internal/label"&gt;&lt;element uid="id_classification_nonbusiness" value="" /&gt;&lt;/sisl&gt;</vt:lpwstr>
  </property>
  <property fmtid="{D5CDD505-2E9C-101B-9397-08002B2CF9AE}" pid="7" name="bjDocumentSecurityLabel">
    <vt:lpwstr>Genel</vt:lpwstr>
  </property>
</Properties>
</file>